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6BDF1">
      <w:pPr>
        <w:spacing w:before="600" w:after="40"/>
        <w:jc w:val="center"/>
      </w:pPr>
      <w:r>
        <w:rPr>
          <w:b/>
          <w:bCs/>
          <w:color w:val="1F3864"/>
          <w:sz w:val="32"/>
          <w:szCs w:val="32"/>
        </w:rPr>
        <w:t>CHARTERED INSTITUTE OF CORPORATE MANAGEMENT</w:t>
      </w:r>
    </w:p>
    <w:p w14:paraId="6FC3DC04">
      <w:pPr>
        <w:spacing w:after="40"/>
        <w:jc w:val="center"/>
      </w:pPr>
      <w:r>
        <w:rPr>
          <w:b/>
          <w:bCs/>
          <w:color w:val="1F3864"/>
          <w:sz w:val="32"/>
          <w:szCs w:val="32"/>
        </w:rPr>
        <w:t>AND STRATEGIC PLANNING (</w:t>
      </w:r>
      <w:r>
        <w:rPr>
          <w:b/>
          <w:bCs/>
          <w:color w:val="1F3864"/>
          <w:sz w:val="32"/>
          <w:szCs w:val="32"/>
          <w:lang w:val="en-US"/>
        </w:rPr>
        <w:t>CMSP</w:t>
      </w:r>
      <w:r>
        <w:rPr>
          <w:b/>
          <w:bCs/>
          <w:color w:val="1F3864"/>
          <w:sz w:val="32"/>
          <w:szCs w:val="32"/>
        </w:rPr>
        <w:t>)</w:t>
      </w:r>
    </w:p>
    <w:p w14:paraId="7E563148">
      <w:pPr>
        <w:spacing w:before="200" w:after="30"/>
        <w:jc w:val="center"/>
      </w:pPr>
      <w:r>
        <w:rPr>
          <w:b/>
          <w:bCs/>
          <w:color w:val="B8860B"/>
          <w:sz w:val="26"/>
          <w:szCs w:val="26"/>
        </w:rPr>
        <w:t>POSTGRADUATE DIPLOMA (PGD)</w:t>
      </w:r>
    </w:p>
    <w:p w14:paraId="342207CB">
      <w:pPr>
        <w:spacing w:after="260"/>
        <w:jc w:val="center"/>
      </w:pPr>
      <w:r>
        <w:rPr>
          <w:b/>
          <w:bCs/>
          <w:color w:val="B8860B"/>
          <w:sz w:val="26"/>
          <w:szCs w:val="26"/>
        </w:rPr>
        <w:t>IN CORPORATE MANAGEMENT AND STRATEGIC PLANNING</w:t>
      </w:r>
    </w:p>
    <w:p w14:paraId="31ABBFD0">
      <w:pPr>
        <w:spacing w:after="30"/>
        <w:jc w:val="center"/>
      </w:pPr>
      <w:r>
        <w:rPr>
          <w:i/>
          <w:iCs/>
          <w:color w:val="595959"/>
          <w:sz w:val="22"/>
          <w:szCs w:val="22"/>
        </w:rPr>
        <w:t>Course Learning Materials / Module Manual</w:t>
      </w:r>
    </w:p>
    <w:p w14:paraId="4FC4B284">
      <w:pPr>
        <w:pBdr>
          <w:bottom w:val="single" w:color="B8860B" w:sz="12" w:space="8"/>
        </w:pBdr>
        <w:spacing w:after="320"/>
        <w:jc w:val="center"/>
      </w:pPr>
      <w:r>
        <w:rPr>
          <w:color w:val="595959"/>
          <w:sz w:val="20"/>
          <w:szCs w:val="20"/>
        </w:rPr>
        <w:t>Module 1 – Module 4</w:t>
      </w:r>
    </w:p>
    <w:p w14:paraId="3FCBE348">
      <w:pPr>
        <w:spacing w:before="220" w:after="90"/>
      </w:pPr>
      <w:r>
        <w:rPr>
          <w:b/>
          <w:bCs/>
          <w:color w:val="1F3864"/>
          <w:sz w:val="22"/>
          <w:szCs w:val="22"/>
        </w:rPr>
        <w:t>Programme Overview</w:t>
      </w:r>
    </w:p>
    <w:p w14:paraId="39650679">
      <w:pPr>
        <w:spacing w:after="160" w:line="300" w:lineRule="auto"/>
        <w:jc w:val="both"/>
      </w:pPr>
      <w:r>
        <w:rPr>
          <w:sz w:val="21"/>
          <w:szCs w:val="21"/>
        </w:rPr>
        <w:t>The Postgraduate Diploma (PGD) in Corporate Management and Strategic Planning is designed by the Chartered Institute of Corporate Management and Strategic Planning (</w:t>
      </w:r>
      <w:r>
        <w:rPr>
          <w:sz w:val="21"/>
          <w:szCs w:val="21"/>
          <w:lang w:val="en-US"/>
        </w:rPr>
        <w:t>CMSP</w:t>
      </w:r>
      <w:r>
        <w:rPr>
          <w:sz w:val="21"/>
          <w:szCs w:val="21"/>
        </w:rPr>
        <w:t>) to develop practising and aspiring managers with the theoretical grounding and applied competence required to plan, organize, and direct corporate entities in complex and dynamic business environments. The programme integrates classical and contemporary management theory with economic reasoning, financial literacy, and legal/governance knowledge, equipping candidates to formulate and execute sound corporate strategy.</w:t>
      </w:r>
    </w:p>
    <w:p w14:paraId="326B2440">
      <w:pPr>
        <w:spacing w:before="220" w:after="90"/>
      </w:pPr>
      <w:r>
        <w:rPr>
          <w:b/>
          <w:bCs/>
          <w:color w:val="1F3864"/>
          <w:sz w:val="22"/>
          <w:szCs w:val="22"/>
        </w:rPr>
        <w:t>Structure of This Manual</w:t>
      </w:r>
    </w:p>
    <w:p w14:paraId="2D8CC0D0">
      <w:pPr>
        <w:spacing w:after="160" w:line="300" w:lineRule="auto"/>
        <w:jc w:val="both"/>
      </w:pPr>
      <w:r>
        <w:rPr>
          <w:sz w:val="21"/>
          <w:szCs w:val="21"/>
        </w:rPr>
        <w:t>Each module is presented in academic format comprising: Learning Outcomes, Core Content organized by topic, an Applied Case Illustration linking theory to corporate strategic practice, a Module Summary, Self-Assessment Questions, and Recommended Further Reading. Candidates are advised to work through each topic sequentially and attempt all self-assessment questions before proceeding to the next module.</w:t>
      </w:r>
    </w:p>
    <w:p w14:paraId="422624C1">
      <w:r>
        <w:br w:type="page"/>
      </w:r>
    </w:p>
    <w:p w14:paraId="69282FA0">
      <w:pPr>
        <w:pStyle w:val="2"/>
        <w:pBdr>
          <w:bottom w:val="single" w:color="1F3864" w:sz="10" w:space="6"/>
        </w:pBdr>
        <w:spacing w:before="200" w:after="60"/>
      </w:pPr>
      <w:r>
        <w:rPr>
          <w:b/>
          <w:bCs/>
          <w:color w:val="1F3864"/>
          <w:sz w:val="30"/>
          <w:szCs w:val="30"/>
        </w:rPr>
        <w:t xml:space="preserve">MODULE 1: </w:t>
      </w:r>
      <w:r>
        <w:rPr>
          <w:b/>
          <w:bCs/>
          <w:color w:val="1F3864"/>
          <w:sz w:val="30"/>
          <w:szCs w:val="30"/>
          <w:lang w:val="en-US"/>
        </w:rPr>
        <w:t>CMSP</w:t>
      </w:r>
      <w:r>
        <w:rPr>
          <w:b/>
          <w:bCs/>
          <w:color w:val="1F3864"/>
          <w:sz w:val="30"/>
          <w:szCs w:val="30"/>
        </w:rPr>
        <w:t>-PGD-</w:t>
      </w:r>
      <w:r>
        <w:rPr>
          <w:rFonts w:hint="default"/>
          <w:b/>
          <w:bCs/>
          <w:color w:val="1F3864"/>
          <w:sz w:val="30"/>
          <w:szCs w:val="30"/>
          <w:lang w:val="en-US"/>
        </w:rPr>
        <w:t>PPM</w:t>
      </w:r>
      <w:r>
        <w:rPr>
          <w:b/>
          <w:bCs/>
          <w:color w:val="1F3864"/>
          <w:sz w:val="30"/>
          <w:szCs w:val="30"/>
        </w:rPr>
        <w:t xml:space="preserve"> 101</w:t>
      </w:r>
      <w:r>
        <w:rPr>
          <w:rFonts w:hint="default"/>
          <w:b/>
          <w:bCs/>
          <w:color w:val="1F3864"/>
          <w:sz w:val="30"/>
          <w:szCs w:val="30"/>
          <w:lang w:val="en-US"/>
        </w:rPr>
        <w:t xml:space="preserve"> </w:t>
      </w:r>
      <w:r>
        <w:rPr>
          <w:b/>
          <w:bCs/>
          <w:color w:val="1F3864"/>
          <w:sz w:val="30"/>
          <w:szCs w:val="30"/>
        </w:rPr>
        <w:t>PRINCIPLES AND PRACTICES OF MANAGEMENT</w:t>
      </w:r>
    </w:p>
    <w:p w14:paraId="6994BE32">
      <w:pPr>
        <w:spacing w:before="220" w:after="90"/>
      </w:pPr>
      <w:r>
        <w:rPr>
          <w:b/>
          <w:bCs/>
          <w:color w:val="1F3864"/>
          <w:sz w:val="22"/>
          <w:szCs w:val="22"/>
        </w:rPr>
        <w:t>Learning Outcomes</w:t>
      </w:r>
    </w:p>
    <w:p w14:paraId="3FD5BADE">
      <w:pPr>
        <w:spacing w:after="80"/>
        <w:ind w:left="360"/>
      </w:pPr>
      <w:r>
        <w:rPr>
          <w:b/>
          <w:bCs/>
          <w:color w:val="1F3864"/>
          <w:sz w:val="21"/>
          <w:szCs w:val="21"/>
        </w:rPr>
        <w:t xml:space="preserve">•  </w:t>
      </w:r>
      <w:r>
        <w:rPr>
          <w:sz w:val="21"/>
          <w:szCs w:val="21"/>
        </w:rPr>
        <w:t>Trace the historical evolution of management thought from classical to contemporary schools.</w:t>
      </w:r>
    </w:p>
    <w:p w14:paraId="7C26F4E6">
      <w:pPr>
        <w:spacing w:after="80"/>
        <w:ind w:left="360"/>
      </w:pPr>
      <w:r>
        <w:rPr>
          <w:b/>
          <w:bCs/>
          <w:color w:val="1F3864"/>
          <w:sz w:val="21"/>
          <w:szCs w:val="21"/>
        </w:rPr>
        <w:t xml:space="preserve">•  </w:t>
      </w:r>
      <w:r>
        <w:rPr>
          <w:sz w:val="21"/>
          <w:szCs w:val="21"/>
        </w:rPr>
        <w:t>Apply the five core management functions (planning, organizing, staffing, directing, controlling) to corporate settings.</w:t>
      </w:r>
    </w:p>
    <w:p w14:paraId="5F27E7BC">
      <w:pPr>
        <w:spacing w:after="80"/>
        <w:ind w:left="360"/>
      </w:pPr>
      <w:r>
        <w:rPr>
          <w:b/>
          <w:bCs/>
          <w:color w:val="1F3864"/>
          <w:sz w:val="21"/>
          <w:szCs w:val="21"/>
        </w:rPr>
        <w:t xml:space="preserve">•  </w:t>
      </w:r>
      <w:r>
        <w:rPr>
          <w:sz w:val="21"/>
          <w:szCs w:val="21"/>
        </w:rPr>
        <w:t>Analyze organizational structures and their fit with corporate strategy.</w:t>
      </w:r>
    </w:p>
    <w:p w14:paraId="3A639AA8">
      <w:pPr>
        <w:spacing w:after="80"/>
        <w:ind w:left="360"/>
      </w:pPr>
      <w:r>
        <w:rPr>
          <w:b/>
          <w:bCs/>
          <w:color w:val="1F3864"/>
          <w:sz w:val="21"/>
          <w:szCs w:val="21"/>
        </w:rPr>
        <w:t xml:space="preserve">•  </w:t>
      </w:r>
      <w:r>
        <w:rPr>
          <w:sz w:val="21"/>
          <w:szCs w:val="21"/>
        </w:rPr>
        <w:t>Evaluate managerial roles and decision-making models applicable to strategic management.</w:t>
      </w:r>
    </w:p>
    <w:p w14:paraId="5CA9F66F">
      <w:pPr>
        <w:pStyle w:val="3"/>
        <w:spacing w:before="260" w:after="100"/>
      </w:pPr>
      <w:r>
        <w:rPr>
          <w:b/>
          <w:bCs/>
          <w:color w:val="B8860B"/>
          <w:sz w:val="24"/>
          <w:szCs w:val="24"/>
        </w:rPr>
        <w:t>1.1 Evolution of Management Thought: Classical to Contemporary Theories</w:t>
      </w:r>
    </w:p>
    <w:p w14:paraId="0F764CF7">
      <w:pPr>
        <w:spacing w:after="160" w:line="300" w:lineRule="auto"/>
        <w:jc w:val="both"/>
      </w:pPr>
      <w:r>
        <w:rPr>
          <w:sz w:val="21"/>
          <w:szCs w:val="21"/>
        </w:rPr>
        <w:t>The study of management as a formal discipline emerged in the late nineteenth and early twentieth centuries in response to the organizational demands of industrialization. The Classical School comprises three principal strands. Scientific Management, associated with Frederick Winslow Taylor, emphasized the systematic study of work methods, time-and-motion analysis, and the standardization of tasks to maximize efficiency and output. Administrative Management, most closely associated with Henri Fayol, shifted attention from the shop floor to the organization as a whole, proposing fourteen principles of management and identifying five functions — planning, organizing, commanding, coordinating, and controlling — that remain foundational to management education today. The Bureaucratic School, developed by Max Weber, emphasized formal rules, hierarchical authority, division of labour, and impersonal relationships as the basis of rational-legal organizational authority.</w:t>
      </w:r>
    </w:p>
    <w:p w14:paraId="40F6C1B6">
      <w:pPr>
        <w:spacing w:after="160" w:line="300" w:lineRule="auto"/>
        <w:jc w:val="both"/>
      </w:pPr>
      <w:r>
        <w:rPr>
          <w:sz w:val="21"/>
          <w:szCs w:val="21"/>
        </w:rPr>
        <w:t>The Human Relations Movement, catalyzed by the Hawthorne Studies conducted by Elton Mayo and colleagues at the Western Electric Company, revealed that social and psychological factors — attention, group dynamics, and informal relationships — significantly influence worker productivity, challenging the purely mechanistic assumptions of the classical school. This gave rise to the Behavioural Science Approach, drawing on psychology and sociology to understand motivation (Maslow, Herzberg, McGregor), leadership, and group behaviour within organizations.</w:t>
      </w:r>
    </w:p>
    <w:p w14:paraId="4B8885D3">
      <w:pPr>
        <w:spacing w:after="160" w:line="300" w:lineRule="auto"/>
        <w:jc w:val="both"/>
      </w:pPr>
      <w:r>
        <w:rPr>
          <w:sz w:val="21"/>
          <w:szCs w:val="21"/>
        </w:rPr>
        <w:t>Contemporary management thought is characterized by the Systems Approach, which views the organization as an open system interacting with its external environment through inputs, transformation processes, and outputs; the Contingency Approach, which holds that there is no single best way to manage and that effective management practice depends on situational variables such as environmental uncertainty, technology, and organizational size; and the Strategic Management Approach, which positions the organization's long-term direction, competitive positioning, and resource allocation decisions as the central concern of top management. For the corporate manager, understanding this evolution is not merely historical: contingency thinking, for example, directly underpins the practice of aligning corporate strategy with environmental and organizational context, while systems thinking underlies modern strategic planning frameworks that treat the firm as embedded within a wider competitive and stakeholder ecosystem.</w:t>
      </w:r>
    </w:p>
    <w:p w14:paraId="7F134CEA">
      <w:pPr>
        <w:pStyle w:val="3"/>
        <w:spacing w:before="260" w:after="100"/>
      </w:pPr>
      <w:r>
        <w:rPr>
          <w:b/>
          <w:bCs/>
          <w:color w:val="B8860B"/>
          <w:sz w:val="24"/>
          <w:szCs w:val="24"/>
        </w:rPr>
        <w:t>1.2 Planning, Organizing, Staffing, Directing, Controlling (the POSDC Framework)</w:t>
      </w:r>
    </w:p>
    <w:p w14:paraId="4843EFD4">
      <w:pPr>
        <w:spacing w:after="160" w:line="300" w:lineRule="auto"/>
        <w:jc w:val="both"/>
      </w:pPr>
      <w:r>
        <w:rPr>
          <w:sz w:val="21"/>
          <w:szCs w:val="21"/>
        </w:rPr>
        <w:t>Planning is the primary management function and the foundation of corporate strategic activity. It involves setting objectives, forecasting future conditions, and determining the courses of action required to achieve desired outcomes. In a corporate context, planning operates at three levels: strategic planning (long-term, organization-wide, undertaken by top management), tactical planning (medium-term, departmental, undertaken by middle management), and operational planning (short-term, unit-level, undertaken by frontline supervisors). Effective strategic planning requires environmental scanning (analysis of external opportunities and threats) and internal appraisal (analysis of organizational strengths and weaknesses), commonly synthesized through frameworks such as SWOT analysis and PESTEL analysis.</w:t>
      </w:r>
    </w:p>
    <w:p w14:paraId="4F615979">
      <w:pPr>
        <w:spacing w:after="160" w:line="300" w:lineRule="auto"/>
        <w:jc w:val="both"/>
      </w:pPr>
      <w:r>
        <w:rPr>
          <w:sz w:val="21"/>
          <w:szCs w:val="21"/>
        </w:rPr>
        <w:t>Organizing translates plans into a structural framework by grouping activities, allocating resources, and establishing authority relationships. Staffing addresses the acquisition, development, and retention of human capital necessary to execute the organization's strategy, encompassing recruitment, selection, training, performance appraisal, and succession planning. Directing (or leading) concerns the manager's role in motivating, communicating with, and influencing subordinates toward the achievement of organizational objectives, drawing on leadership theory and organizational communication practice. Controlling closes the management cycle by establishing performance standards, measuring actual performance, comparing performance against standards, and taking corrective action; in corporate strategic practice this function is frequently operationalized through management control systems such as the Balanced Scorecard, Key Performance Indicators (KPIs), and variance analysis, ensuring that strategic intent is translated into measurable execution.</w:t>
      </w:r>
    </w:p>
    <w:p w14:paraId="11F59363">
      <w:pPr>
        <w:pStyle w:val="3"/>
        <w:spacing w:before="260" w:after="100"/>
      </w:pPr>
      <w:r>
        <w:rPr>
          <w:b/>
          <w:bCs/>
          <w:color w:val="B8860B"/>
          <w:sz w:val="24"/>
          <w:szCs w:val="24"/>
        </w:rPr>
        <w:t>1.3 Organizational Structures and Design; Managerial Roles and Decision-Making</w:t>
      </w:r>
    </w:p>
    <w:p w14:paraId="558BB78C">
      <w:pPr>
        <w:spacing w:after="160" w:line="300" w:lineRule="auto"/>
        <w:jc w:val="both"/>
      </w:pPr>
      <w:r>
        <w:rPr>
          <w:sz w:val="21"/>
          <w:szCs w:val="21"/>
        </w:rPr>
        <w:t>Organizational design refers to the deliberate configuration of roles, reporting relationships, and coordinating mechanisms within a firm. Common structural forms include the functional structure (grouping by specialization, e.g., marketing, finance, operations), the divisional structure (grouping by product, geography, or customer segment), the matrix structure (dual reporting lines combining functional and project/product dimensions), and increasingly, network and flexible/agile structures suited to knowledge-intensive and fast-changing industries. The choice of structure has direct strategic implications: a firm pursuing a cost-leadership strategy may favour a lean, centralized functional structure to maximize efficiency, whereas a firm pursuing a diversification strategy may adopt a divisional structure to allow autonomous strategic business units to respond to distinct market conditions.</w:t>
      </w:r>
    </w:p>
    <w:p w14:paraId="6B6E630A">
      <w:pPr>
        <w:spacing w:after="160" w:line="300" w:lineRule="auto"/>
        <w:jc w:val="both"/>
      </w:pPr>
      <w:r>
        <w:rPr>
          <w:sz w:val="21"/>
          <w:szCs w:val="21"/>
        </w:rPr>
        <w:t>Henry Mintzberg's classification of managerial roles remains a central analytical tool, grouping the manager's activities into three categories: interpersonal roles (figurehead, leader, liaison), informational roles (monitor, disseminator, spokesperson), and decisional roles (entrepreneur, disturbance handler, resource allocator, negotiator). Strategic decision-making at senior management level is further understood through several models: the rational decision-making model, which assumes comprehensive information and systematic evaluation of alternatives; the bounded rationality model (Herbert Simon), which recognizes cognitive and informational limits and the tendency of managers to satisfice rather than optimize; the incremental model, describing decision-making as a series of small, adaptive adjustments; and the garbage can model, which describes decision-making in highly ambiguous organizational contexts as a loosely coupled interaction of problems, solutions, participants, and choice opportunities. Competent corporate managers are expected to recognize which model best characterizes a given decision context and to adapt their decision processes accordingly, particularly when formulating and revising corporate strategy under uncertainty.</w:t>
      </w:r>
    </w:p>
    <w:p w14:paraId="58C51FB3">
      <w:pPr>
        <w:spacing w:before="220" w:after="90"/>
      </w:pPr>
      <w:r>
        <w:rPr>
          <w:b/>
          <w:bCs/>
          <w:color w:val="1F3864"/>
          <w:sz w:val="22"/>
          <w:szCs w:val="22"/>
        </w:rPr>
        <w:t>Applied Case Illustration</w:t>
      </w:r>
    </w:p>
    <w:p w14:paraId="3C612CD1">
      <w:pPr>
        <w:spacing w:after="160" w:line="300" w:lineRule="auto"/>
        <w:jc w:val="both"/>
      </w:pPr>
      <w:r>
        <w:rPr>
          <w:sz w:val="21"/>
          <w:szCs w:val="21"/>
        </w:rPr>
        <w:t>Consider a mid-sized manufacturing conglomerate diversifying into renewable energy. Applying the POSDC framework, top management first engages in strategic planning through PESTEL and SWOT analysis to assess the viability of the new business line. A divisional structure is then adopted to grant the renewable energy unit sufficient operational autonomy while retaining corporate-level financial and governance oversight. Staffing decisions prioritize recruiting technical specialists with sector-specific expertise, while a control system built around a Balanced Scorecard tracks financial, customer, internal process, and learning-and-growth metrics to ensure the new division's performance is monitored against strategic milestones. This scenario illustrates how classical management functions remain directly operative in contemporary strategic decision-making.</w:t>
      </w:r>
    </w:p>
    <w:p w14:paraId="3B668C28">
      <w:pPr>
        <w:spacing w:before="220" w:after="90"/>
      </w:pPr>
      <w:r>
        <w:rPr>
          <w:b/>
          <w:bCs/>
          <w:color w:val="1F3864"/>
          <w:sz w:val="22"/>
          <w:szCs w:val="22"/>
        </w:rPr>
        <w:t>Module Summary</w:t>
      </w:r>
    </w:p>
    <w:p w14:paraId="706E69C3">
      <w:pPr>
        <w:spacing w:after="160" w:line="300" w:lineRule="auto"/>
        <w:jc w:val="both"/>
      </w:pPr>
      <w:r>
        <w:rPr>
          <w:sz w:val="21"/>
          <w:szCs w:val="21"/>
        </w:rPr>
        <w:t>This module has traced the evolution of management thought from the classical, human relations, and behavioural schools to contemporary systems and contingency perspectives, and has examined how the classical POSDC functions continue to underpin strategic management practice. It has further considered how organizational structure must be aligned with corporate strategy, and how managerial roles and decision-making models shape the exercise of authority and judgment within the modern corporation.</w:t>
      </w:r>
    </w:p>
    <w:p w14:paraId="536340F0">
      <w:pPr>
        <w:spacing w:before="220" w:after="90"/>
      </w:pPr>
      <w:r>
        <w:rPr>
          <w:b/>
          <w:bCs/>
          <w:color w:val="1F3864"/>
          <w:sz w:val="22"/>
          <w:szCs w:val="22"/>
        </w:rPr>
        <w:t>Self-Assessment Questions</w:t>
      </w:r>
    </w:p>
    <w:p w14:paraId="6685ECC5">
      <w:pPr>
        <w:spacing w:after="90"/>
        <w:ind w:left="360"/>
      </w:pPr>
      <w:r>
        <w:rPr>
          <w:b/>
          <w:bCs/>
          <w:sz w:val="21"/>
          <w:szCs w:val="21"/>
        </w:rPr>
        <w:t xml:space="preserve">1.  </w:t>
      </w:r>
      <w:r>
        <w:rPr>
          <w:sz w:val="21"/>
          <w:szCs w:val="21"/>
        </w:rPr>
        <w:t>Critically compare the contributions of Taylor, Fayol, and Weber to classical management theory and assess their continued relevance to corporate management practice.</w:t>
      </w:r>
    </w:p>
    <w:p w14:paraId="6E60311E">
      <w:pPr>
        <w:spacing w:after="90"/>
        <w:ind w:left="360"/>
      </w:pPr>
      <w:r>
        <w:rPr>
          <w:b/>
          <w:bCs/>
          <w:sz w:val="21"/>
          <w:szCs w:val="21"/>
        </w:rPr>
        <w:t xml:space="preserve">2.  </w:t>
      </w:r>
      <w:r>
        <w:rPr>
          <w:sz w:val="21"/>
          <w:szCs w:val="21"/>
        </w:rPr>
        <w:t>Using a corporate organization of your choice, illustrate how the five management functions are applied in practice.</w:t>
      </w:r>
    </w:p>
    <w:p w14:paraId="7D9BDAF7">
      <w:pPr>
        <w:spacing w:after="90"/>
        <w:ind w:left="360"/>
      </w:pPr>
      <w:r>
        <w:rPr>
          <w:b/>
          <w:bCs/>
          <w:sz w:val="21"/>
          <w:szCs w:val="21"/>
        </w:rPr>
        <w:t xml:space="preserve">3.  </w:t>
      </w:r>
      <w:r>
        <w:rPr>
          <w:sz w:val="21"/>
          <w:szCs w:val="21"/>
        </w:rPr>
        <w:t>Discuss the relationship between organizational structure and corporate strategy, using at least two structural forms as examples.</w:t>
      </w:r>
    </w:p>
    <w:p w14:paraId="0F8426C1">
      <w:pPr>
        <w:spacing w:after="90"/>
        <w:ind w:left="360"/>
      </w:pPr>
      <w:r>
        <w:rPr>
          <w:b/>
          <w:bCs/>
          <w:sz w:val="21"/>
          <w:szCs w:val="21"/>
        </w:rPr>
        <w:t xml:space="preserve">4.  </w:t>
      </w:r>
      <w:r>
        <w:rPr>
          <w:sz w:val="21"/>
          <w:szCs w:val="21"/>
        </w:rPr>
        <w:t>Evaluate the usefulness of Mintzberg's managerial roles framework for understanding the work of senior corporate executives.</w:t>
      </w:r>
    </w:p>
    <w:p w14:paraId="1AC1475E">
      <w:pPr>
        <w:spacing w:after="90"/>
        <w:ind w:left="360"/>
      </w:pPr>
      <w:r>
        <w:rPr>
          <w:b/>
          <w:bCs/>
          <w:sz w:val="21"/>
          <w:szCs w:val="21"/>
        </w:rPr>
        <w:t xml:space="preserve">5.  </w:t>
      </w:r>
      <w:r>
        <w:rPr>
          <w:sz w:val="21"/>
          <w:szCs w:val="21"/>
        </w:rPr>
        <w:t>Compare the rational and bounded rationality models of decision-making and discuss their implications for strategic planning under uncertainty.</w:t>
      </w:r>
    </w:p>
    <w:p w14:paraId="0CB51744">
      <w:pPr>
        <w:spacing w:before="220" w:after="90"/>
      </w:pPr>
      <w:r>
        <w:rPr>
          <w:b/>
          <w:bCs/>
          <w:color w:val="1F3864"/>
          <w:sz w:val="22"/>
          <w:szCs w:val="22"/>
        </w:rPr>
        <w:t>Recommended Further Reading</w:t>
      </w:r>
    </w:p>
    <w:p w14:paraId="66E707E3">
      <w:pPr>
        <w:spacing w:after="80"/>
        <w:ind w:left="360"/>
      </w:pPr>
      <w:r>
        <w:rPr>
          <w:b/>
          <w:bCs/>
          <w:color w:val="1F3864"/>
          <w:sz w:val="21"/>
          <w:szCs w:val="21"/>
        </w:rPr>
        <w:t xml:space="preserve">•  </w:t>
      </w:r>
      <w:r>
        <w:rPr>
          <w:sz w:val="21"/>
          <w:szCs w:val="21"/>
        </w:rPr>
        <w:t>Fayol, H. — General and Industrial Management</w:t>
      </w:r>
    </w:p>
    <w:p w14:paraId="2A9CDD01">
      <w:pPr>
        <w:spacing w:after="80"/>
        <w:ind w:left="360"/>
      </w:pPr>
      <w:r>
        <w:rPr>
          <w:b/>
          <w:bCs/>
          <w:color w:val="1F3864"/>
          <w:sz w:val="21"/>
          <w:szCs w:val="21"/>
        </w:rPr>
        <w:t xml:space="preserve">•  </w:t>
      </w:r>
      <w:r>
        <w:rPr>
          <w:sz w:val="21"/>
          <w:szCs w:val="21"/>
        </w:rPr>
        <w:t>Mintzberg, H. — The Nature of Managerial Work</w:t>
      </w:r>
    </w:p>
    <w:p w14:paraId="4C25BA06">
      <w:pPr>
        <w:spacing w:after="80"/>
        <w:ind w:left="360"/>
      </w:pPr>
      <w:r>
        <w:rPr>
          <w:b/>
          <w:bCs/>
          <w:color w:val="1F3864"/>
          <w:sz w:val="21"/>
          <w:szCs w:val="21"/>
        </w:rPr>
        <w:t xml:space="preserve">•  </w:t>
      </w:r>
      <w:r>
        <w:rPr>
          <w:sz w:val="21"/>
          <w:szCs w:val="21"/>
        </w:rPr>
        <w:t>Robbins, S. P. &amp; Coulter, M. — Management</w:t>
      </w:r>
    </w:p>
    <w:p w14:paraId="78C0CAC8">
      <w:pPr>
        <w:spacing w:after="80"/>
        <w:ind w:left="360"/>
      </w:pPr>
      <w:r>
        <w:rPr>
          <w:b/>
          <w:bCs/>
          <w:color w:val="1F3864"/>
          <w:sz w:val="21"/>
          <w:szCs w:val="21"/>
        </w:rPr>
        <w:t xml:space="preserve">•  </w:t>
      </w:r>
      <w:r>
        <w:rPr>
          <w:sz w:val="21"/>
          <w:szCs w:val="21"/>
        </w:rPr>
        <w:t>Koontz, H. &amp; Weihrich, H. — Essentials of Management</w:t>
      </w:r>
    </w:p>
    <w:p w14:paraId="1C60CCB6">
      <w:pPr>
        <w:spacing w:after="80"/>
        <w:ind w:left="360"/>
      </w:pPr>
      <w:r>
        <w:rPr>
          <w:b/>
          <w:bCs/>
          <w:color w:val="1F3864"/>
          <w:sz w:val="21"/>
          <w:szCs w:val="21"/>
        </w:rPr>
        <w:t xml:space="preserve">•  </w:t>
      </w:r>
      <w:r>
        <w:rPr>
          <w:sz w:val="21"/>
          <w:szCs w:val="21"/>
        </w:rPr>
        <w:t>Daft, R. L. — Organization Theory and Design</w:t>
      </w:r>
    </w:p>
    <w:p w14:paraId="776D41C8">
      <w:r>
        <w:br w:type="page"/>
      </w:r>
    </w:p>
    <w:p w14:paraId="6F3D46D0">
      <w:pPr>
        <w:pStyle w:val="2"/>
        <w:pBdr>
          <w:bottom w:val="single" w:color="1F3864" w:sz="10" w:space="6"/>
        </w:pBdr>
        <w:spacing w:before="200" w:after="60"/>
      </w:pPr>
      <w:r>
        <w:rPr>
          <w:b/>
          <w:bCs/>
          <w:color w:val="1F3864"/>
          <w:sz w:val="30"/>
          <w:szCs w:val="30"/>
        </w:rPr>
        <w:t>MODULE 2:</w:t>
      </w:r>
      <w:r>
        <w:rPr>
          <w:rFonts w:hint="default"/>
          <w:b/>
          <w:bCs/>
          <w:color w:val="1F3864"/>
          <w:sz w:val="30"/>
          <w:szCs w:val="30"/>
          <w:lang w:val="en-US"/>
        </w:rPr>
        <w:t xml:space="preserve"> </w:t>
      </w:r>
      <w:bookmarkStart w:id="0" w:name="_GoBack"/>
      <w:bookmarkEnd w:id="0"/>
      <w:r>
        <w:rPr>
          <w:b/>
          <w:bCs/>
          <w:color w:val="1F3864"/>
          <w:sz w:val="30"/>
          <w:szCs w:val="30"/>
          <w:lang w:val="en-US"/>
        </w:rPr>
        <w:t>CMSP</w:t>
      </w:r>
      <w:r>
        <w:rPr>
          <w:b/>
          <w:bCs/>
          <w:color w:val="1F3864"/>
          <w:sz w:val="30"/>
          <w:szCs w:val="30"/>
        </w:rPr>
        <w:t>-PGD-</w:t>
      </w:r>
      <w:r>
        <w:rPr>
          <w:rFonts w:hint="default"/>
          <w:b/>
          <w:bCs/>
          <w:color w:val="1F3864"/>
          <w:sz w:val="30"/>
          <w:szCs w:val="30"/>
          <w:lang w:val="en-US"/>
        </w:rPr>
        <w:t>ME</w:t>
      </w:r>
      <w:r>
        <w:rPr>
          <w:b/>
          <w:bCs/>
          <w:color w:val="1F3864"/>
          <w:sz w:val="30"/>
          <w:szCs w:val="30"/>
        </w:rPr>
        <w:t xml:space="preserve"> 10</w:t>
      </w:r>
      <w:r>
        <w:rPr>
          <w:rFonts w:hint="default"/>
          <w:b/>
          <w:bCs/>
          <w:color w:val="1F3864"/>
          <w:sz w:val="30"/>
          <w:szCs w:val="30"/>
          <w:lang w:val="en-US"/>
        </w:rPr>
        <w:t xml:space="preserve">2 </w:t>
      </w:r>
      <w:r>
        <w:rPr>
          <w:b/>
          <w:bCs/>
          <w:color w:val="1F3864"/>
          <w:sz w:val="30"/>
          <w:szCs w:val="30"/>
        </w:rPr>
        <w:t xml:space="preserve"> MANAGERIAL ECONOMICS</w:t>
      </w:r>
    </w:p>
    <w:p w14:paraId="5A4A468E">
      <w:pPr>
        <w:spacing w:before="220" w:after="90"/>
      </w:pPr>
      <w:r>
        <w:rPr>
          <w:b/>
          <w:bCs/>
          <w:color w:val="1F3864"/>
          <w:sz w:val="22"/>
          <w:szCs w:val="22"/>
        </w:rPr>
        <w:t>Learning Outcomes</w:t>
      </w:r>
    </w:p>
    <w:p w14:paraId="512F09CB">
      <w:pPr>
        <w:spacing w:after="80"/>
        <w:ind w:left="360"/>
      </w:pPr>
      <w:r>
        <w:rPr>
          <w:b/>
          <w:bCs/>
          <w:color w:val="1F3864"/>
          <w:sz w:val="21"/>
          <w:szCs w:val="21"/>
        </w:rPr>
        <w:t xml:space="preserve">•  </w:t>
      </w:r>
      <w:r>
        <w:rPr>
          <w:sz w:val="21"/>
          <w:szCs w:val="21"/>
        </w:rPr>
        <w:t>Apply demand and supply analysis to corporate pricing decisions.</w:t>
      </w:r>
    </w:p>
    <w:p w14:paraId="5AFDF317">
      <w:pPr>
        <w:spacing w:after="80"/>
        <w:ind w:left="360"/>
      </w:pPr>
      <w:r>
        <w:rPr>
          <w:b/>
          <w:bCs/>
          <w:color w:val="1F3864"/>
          <w:sz w:val="21"/>
          <w:szCs w:val="21"/>
        </w:rPr>
        <w:t xml:space="preserve">•  </w:t>
      </w:r>
      <w:r>
        <w:rPr>
          <w:sz w:val="21"/>
          <w:szCs w:val="21"/>
        </w:rPr>
        <w:t>Analyze cost and production relationships and their strategic implications.</w:t>
      </w:r>
    </w:p>
    <w:p w14:paraId="3D7C5251">
      <w:pPr>
        <w:spacing w:after="80"/>
        <w:ind w:left="360"/>
      </w:pPr>
      <w:r>
        <w:rPr>
          <w:b/>
          <w:bCs/>
          <w:color w:val="1F3864"/>
          <w:sz w:val="21"/>
          <w:szCs w:val="21"/>
        </w:rPr>
        <w:t xml:space="preserve">•  </w:t>
      </w:r>
      <w:r>
        <w:rPr>
          <w:sz w:val="21"/>
          <w:szCs w:val="21"/>
        </w:rPr>
        <w:t>Evaluate market structures and their effect on competitive strategy.</w:t>
      </w:r>
    </w:p>
    <w:p w14:paraId="232C657F">
      <w:pPr>
        <w:spacing w:after="80"/>
        <w:ind w:left="360"/>
      </w:pPr>
      <w:r>
        <w:rPr>
          <w:b/>
          <w:bCs/>
          <w:color w:val="1F3864"/>
          <w:sz w:val="21"/>
          <w:szCs w:val="21"/>
        </w:rPr>
        <w:t xml:space="preserve">•  </w:t>
      </w:r>
      <w:r>
        <w:rPr>
          <w:sz w:val="21"/>
          <w:szCs w:val="21"/>
        </w:rPr>
        <w:t>Interpret macroeconomic indicators and business cycle phases for strategic planning purposes.</w:t>
      </w:r>
    </w:p>
    <w:p w14:paraId="54DF76FC">
      <w:pPr>
        <w:pStyle w:val="3"/>
        <w:spacing w:before="260" w:after="100"/>
      </w:pPr>
      <w:r>
        <w:rPr>
          <w:b/>
          <w:bCs/>
          <w:color w:val="B8860B"/>
          <w:sz w:val="24"/>
          <w:szCs w:val="24"/>
        </w:rPr>
        <w:t>2.1 Demand, Supply, and Pricing Decisions</w:t>
      </w:r>
    </w:p>
    <w:p w14:paraId="7D5D6703">
      <w:pPr>
        <w:spacing w:after="160" w:line="300" w:lineRule="auto"/>
        <w:jc w:val="both"/>
      </w:pPr>
      <w:r>
        <w:rPr>
          <w:sz w:val="21"/>
          <w:szCs w:val="21"/>
        </w:rPr>
        <w:t>Demand theory examines the relationship between the quantity of a good or service that consumers are willing and able to purchase and the factors that influence that quantity, principally price, income, the price of substitutes and complements, consumer tastes, and expectations. The law of demand states that, ceteris paribus, quantity demanded varies inversely with price. Price elasticity of demand measures the responsiveness of quantity demanded to a change in price and is a critical input to corporate pricing strategy: firms facing relatively inelastic demand possess greater latitude to raise prices without proportionate loss of sales volume, whereas firms facing elastic demand must exercise pricing restraint or compete on non-price dimensions.</w:t>
      </w:r>
    </w:p>
    <w:p w14:paraId="62944890">
      <w:pPr>
        <w:spacing w:after="160" w:line="300" w:lineRule="auto"/>
        <w:jc w:val="both"/>
      </w:pPr>
      <w:r>
        <w:rPr>
          <w:sz w:val="21"/>
          <w:szCs w:val="21"/>
        </w:rPr>
        <w:t>Supply theory examines the relationship between price and the quantity that producers are willing to offer to the market, governed by production costs, technology, input prices, and the number of competing firms. Market equilibrium occurs where the quantity demanded equals the quantity supplied, determining the market-clearing price. Corporate pricing strategy translates these economic principles into practice through approaches such as cost-plus pricing (adding a margin to production cost), value-based pricing (setting price according to perceived customer value), penetration pricing (setting an initially low price to gain market share), and price skimming (setting an initially high price to capture early-adopter surplus before gradually reducing price). The selection of a pricing strategy is inseparable from the firm's broader competitive strategy and must be revisited continuously as market conditions evolve.</w:t>
      </w:r>
    </w:p>
    <w:p w14:paraId="6B79ABB8">
      <w:pPr>
        <w:pStyle w:val="3"/>
        <w:spacing w:before="260" w:after="100"/>
      </w:pPr>
      <w:r>
        <w:rPr>
          <w:b/>
          <w:bCs/>
          <w:color w:val="B8860B"/>
          <w:sz w:val="24"/>
          <w:szCs w:val="24"/>
        </w:rPr>
        <w:t>2.2 Cost and Production Analysis; Market Structures</w:t>
      </w:r>
    </w:p>
    <w:p w14:paraId="32B16CC6">
      <w:pPr>
        <w:spacing w:after="160" w:line="300" w:lineRule="auto"/>
        <w:jc w:val="both"/>
      </w:pPr>
      <w:r>
        <w:rPr>
          <w:sz w:val="21"/>
          <w:szCs w:val="21"/>
        </w:rPr>
        <w:t>Cost analysis distinguishes between fixed costs (invariant with output in the short run), variable costs (which vary directly with output), and the resulting marginal cost (the cost of producing one additional unit), which is central to short-run output and pricing decisions. The concept of opportunity cost — the value of the next best alternative foregone — is fundamental to sound managerial decision-making, including capital budgeting and resource allocation. Production theory examines the relationship between inputs (labour, capital, land) and output, including the law of diminishing marginal returns and economies of scale, whereby unit costs decline as output expands due to specialization, bulk purchasing, and technical efficiencies, up to the point of minimum efficient scale.</w:t>
      </w:r>
    </w:p>
    <w:p w14:paraId="5C3B9093">
      <w:pPr>
        <w:spacing w:after="160" w:line="300" w:lineRule="auto"/>
        <w:jc w:val="both"/>
      </w:pPr>
      <w:r>
        <w:rPr>
          <w:sz w:val="21"/>
          <w:szCs w:val="21"/>
        </w:rPr>
        <w:t>Market structure analysis examines the competitive environment within which the firm operates, spanning a continuum from perfect competition (many firms, homogeneous products, free entry and exit, price-taking behaviour) through monopolistic competition (many firms, differentiated products, some pricing power) and oligopoly (few firms, significant interdependence, strategic behaviour including tacit collusion and price leadership) to monopoly (a single firm, significant barriers to entry, substantial pricing power). Understanding the prevailing market structure is essential to strategic positioning: firms in oligopolistic markets must anticipate competitor reactions when formulating pricing and investment strategy, a consideration formally addressed through game-theoretic models in advanced strategic management.</w:t>
      </w:r>
    </w:p>
    <w:p w14:paraId="147B9B12">
      <w:pPr>
        <w:pStyle w:val="3"/>
        <w:spacing w:before="260" w:after="100"/>
      </w:pPr>
      <w:r>
        <w:rPr>
          <w:b/>
          <w:bCs/>
          <w:color w:val="B8860B"/>
          <w:sz w:val="24"/>
          <w:szCs w:val="24"/>
        </w:rPr>
        <w:t>2.3 Macroeconomic Indicators and Business Cycles</w:t>
      </w:r>
    </w:p>
    <w:p w14:paraId="32AF6E02">
      <w:pPr>
        <w:spacing w:after="160" w:line="300" w:lineRule="auto"/>
        <w:jc w:val="both"/>
      </w:pPr>
      <w:r>
        <w:rPr>
          <w:sz w:val="21"/>
          <w:szCs w:val="21"/>
        </w:rPr>
        <w:t>Corporate strategic planning must be informed by the macroeconomic environment within which the firm operates. Key indicators include Gross Domestic Product (GDP) growth, which signals the pace of overall economic expansion or contraction; the inflation rate, which affects real purchasing power, input costs, and interest rate policy; interest rates, which determine the cost of capital and influence investment decisions; the unemployment rate, which affects labour market conditions and consumer demand; and exchange rates, which affect the competitiveness of exports, the cost of imported inputs, and the translated value of foreign earnings for multinational corporations.</w:t>
      </w:r>
    </w:p>
    <w:p w14:paraId="20C81196">
      <w:pPr>
        <w:spacing w:after="160" w:line="300" w:lineRule="auto"/>
        <w:jc w:val="both"/>
      </w:pPr>
      <w:r>
        <w:rPr>
          <w:sz w:val="21"/>
          <w:szCs w:val="21"/>
        </w:rPr>
        <w:t>The business cycle describes the recurring, though irregular, pattern of expansion, peak, contraction, and trough that characterizes aggregate economic activity over time. Strategic planners must adapt corporate strategy to the prevailing and anticipated phase of the business cycle: during expansion, firms typically pursue growth and capacity investment strategies; approaching a peak, firms may build financial reserves and hedge against downturn risk; during contraction, firms often prioritize cost control, cash preservation, and defensive strategy; and during trough/recovery phases, firms position themselves to capitalize on renewed demand. Scenario planning, a core strategic planning technique, is frequently employed to prepare the organization for a range of plausible macroeconomic futures rather than relying on a single forecast.</w:t>
      </w:r>
    </w:p>
    <w:p w14:paraId="78B80336">
      <w:pPr>
        <w:spacing w:before="220" w:after="90"/>
      </w:pPr>
      <w:r>
        <w:rPr>
          <w:b/>
          <w:bCs/>
          <w:color w:val="1F3864"/>
          <w:sz w:val="22"/>
          <w:szCs w:val="22"/>
        </w:rPr>
        <w:t>Applied Case Illustration</w:t>
      </w:r>
    </w:p>
    <w:p w14:paraId="308C1072">
      <w:pPr>
        <w:spacing w:after="160" w:line="300" w:lineRule="auto"/>
        <w:jc w:val="both"/>
      </w:pPr>
      <w:r>
        <w:rPr>
          <w:sz w:val="21"/>
          <w:szCs w:val="21"/>
        </w:rPr>
        <w:t>A regional retail chain operating in a monopolistically competitive market observes declining price elasticity sensitivity among a loyal customer segment following a successful brand-differentiation strategy. This allows the firm to shift from penetration pricing toward value-based pricing for its premium product lines. Simultaneously, anticipating a contraction phase in the business cycle signalled by rising interest rates and slowing GDP growth, the firm's strategic planning unit revises its capital expenditure plans, prioritizing working-capital preservation over expansion, illustrating the integration of microeconomic pricing analysis with macroeconomic strategic foresight.</w:t>
      </w:r>
    </w:p>
    <w:p w14:paraId="3787243D">
      <w:pPr>
        <w:spacing w:before="220" w:after="90"/>
      </w:pPr>
      <w:r>
        <w:rPr>
          <w:b/>
          <w:bCs/>
          <w:color w:val="1F3864"/>
          <w:sz w:val="22"/>
          <w:szCs w:val="22"/>
        </w:rPr>
        <w:t>Module Summary</w:t>
      </w:r>
    </w:p>
    <w:p w14:paraId="2FEF220C">
      <w:pPr>
        <w:spacing w:after="160" w:line="300" w:lineRule="auto"/>
        <w:jc w:val="both"/>
      </w:pPr>
      <w:r>
        <w:rPr>
          <w:sz w:val="21"/>
          <w:szCs w:val="21"/>
        </w:rPr>
        <w:t>This module has examined the economic foundations of corporate decision-making, covering demand and supply analysis and their application to pricing strategy, cost and production analysis and their link to competitive positioning within differing market structures, and the macroeconomic indicators and business cycle dynamics that must inform strategic planning at the corporate level.</w:t>
      </w:r>
    </w:p>
    <w:p w14:paraId="5F7C295F">
      <w:pPr>
        <w:spacing w:before="220" w:after="90"/>
      </w:pPr>
      <w:r>
        <w:rPr>
          <w:b/>
          <w:bCs/>
          <w:color w:val="1F3864"/>
          <w:sz w:val="22"/>
          <w:szCs w:val="22"/>
        </w:rPr>
        <w:t>Self-Assessment Questions</w:t>
      </w:r>
    </w:p>
    <w:p w14:paraId="316BDB8E">
      <w:pPr>
        <w:spacing w:after="90"/>
        <w:ind w:left="360"/>
      </w:pPr>
      <w:r>
        <w:rPr>
          <w:b/>
          <w:bCs/>
          <w:sz w:val="21"/>
          <w:szCs w:val="21"/>
        </w:rPr>
        <w:t xml:space="preserve">1.  </w:t>
      </w:r>
      <w:r>
        <w:rPr>
          <w:sz w:val="21"/>
          <w:szCs w:val="21"/>
        </w:rPr>
        <w:t>Explain how price elasticity of demand influences corporate pricing strategy, with examples.</w:t>
      </w:r>
    </w:p>
    <w:p w14:paraId="44A9AC80">
      <w:pPr>
        <w:spacing w:after="90"/>
        <w:ind w:left="360"/>
      </w:pPr>
      <w:r>
        <w:rPr>
          <w:b/>
          <w:bCs/>
          <w:sz w:val="21"/>
          <w:szCs w:val="21"/>
        </w:rPr>
        <w:t xml:space="preserve">2.  </w:t>
      </w:r>
      <w:r>
        <w:rPr>
          <w:sz w:val="21"/>
          <w:szCs w:val="21"/>
        </w:rPr>
        <w:t>Distinguish between fixed, variable, and marginal costs and explain their relevance to short-run production decisions.</w:t>
      </w:r>
    </w:p>
    <w:p w14:paraId="19F4D7F2">
      <w:pPr>
        <w:spacing w:after="90"/>
        <w:ind w:left="360"/>
      </w:pPr>
      <w:r>
        <w:rPr>
          <w:b/>
          <w:bCs/>
          <w:sz w:val="21"/>
          <w:szCs w:val="21"/>
        </w:rPr>
        <w:t xml:space="preserve">3.  </w:t>
      </w:r>
      <w:r>
        <w:rPr>
          <w:sz w:val="21"/>
          <w:szCs w:val="21"/>
        </w:rPr>
        <w:t>Compare the strategic implications of operating in an oligopolistic market versus a perfectly competitive market.</w:t>
      </w:r>
    </w:p>
    <w:p w14:paraId="6409AC6B">
      <w:pPr>
        <w:spacing w:after="90"/>
        <w:ind w:left="360"/>
      </w:pPr>
      <w:r>
        <w:rPr>
          <w:b/>
          <w:bCs/>
          <w:sz w:val="21"/>
          <w:szCs w:val="21"/>
        </w:rPr>
        <w:t xml:space="preserve">4.  </w:t>
      </w:r>
      <w:r>
        <w:rPr>
          <w:sz w:val="21"/>
          <w:szCs w:val="21"/>
        </w:rPr>
        <w:t>Discuss how a corporate strategic planning unit should respond to each phase of the business cycle.</w:t>
      </w:r>
    </w:p>
    <w:p w14:paraId="008A8090">
      <w:pPr>
        <w:spacing w:after="90"/>
        <w:ind w:left="360"/>
      </w:pPr>
      <w:r>
        <w:rPr>
          <w:b/>
          <w:bCs/>
          <w:sz w:val="21"/>
          <w:szCs w:val="21"/>
        </w:rPr>
        <w:t xml:space="preserve">5.  </w:t>
      </w:r>
      <w:r>
        <w:rPr>
          <w:sz w:val="21"/>
          <w:szCs w:val="21"/>
        </w:rPr>
        <w:t>Using a current macroeconomic indicator of your choice, assess its likely impact on corporate strategy in a sector of your choice.</w:t>
      </w:r>
    </w:p>
    <w:p w14:paraId="25E6696F">
      <w:pPr>
        <w:spacing w:before="220" w:after="90"/>
      </w:pPr>
      <w:r>
        <w:rPr>
          <w:b/>
          <w:bCs/>
          <w:color w:val="1F3864"/>
          <w:sz w:val="22"/>
          <w:szCs w:val="22"/>
        </w:rPr>
        <w:t>Recommended Further Reading</w:t>
      </w:r>
    </w:p>
    <w:p w14:paraId="50F68BF0">
      <w:pPr>
        <w:spacing w:after="80"/>
        <w:ind w:left="360"/>
      </w:pPr>
      <w:r>
        <w:rPr>
          <w:b/>
          <w:bCs/>
          <w:color w:val="1F3864"/>
          <w:sz w:val="21"/>
          <w:szCs w:val="21"/>
        </w:rPr>
        <w:t xml:space="preserve">•  </w:t>
      </w:r>
      <w:r>
        <w:rPr>
          <w:sz w:val="21"/>
          <w:szCs w:val="21"/>
        </w:rPr>
        <w:t>Samuelson, W. &amp; Marks, S. — Managerial Economics</w:t>
      </w:r>
    </w:p>
    <w:p w14:paraId="03FCCE67">
      <w:pPr>
        <w:spacing w:after="80"/>
        <w:ind w:left="360"/>
      </w:pPr>
      <w:r>
        <w:rPr>
          <w:b/>
          <w:bCs/>
          <w:color w:val="1F3864"/>
          <w:sz w:val="21"/>
          <w:szCs w:val="21"/>
        </w:rPr>
        <w:t xml:space="preserve">•  </w:t>
      </w:r>
      <w:r>
        <w:rPr>
          <w:sz w:val="21"/>
          <w:szCs w:val="21"/>
        </w:rPr>
        <w:t>Baye, M. R. &amp; Prince, J. — Managerial Economics and Business Strategy</w:t>
      </w:r>
    </w:p>
    <w:p w14:paraId="4A7E8208">
      <w:pPr>
        <w:spacing w:after="80"/>
        <w:ind w:left="360"/>
      </w:pPr>
      <w:r>
        <w:rPr>
          <w:b/>
          <w:bCs/>
          <w:color w:val="1F3864"/>
          <w:sz w:val="21"/>
          <w:szCs w:val="21"/>
        </w:rPr>
        <w:t xml:space="preserve">•  </w:t>
      </w:r>
      <w:r>
        <w:rPr>
          <w:sz w:val="21"/>
          <w:szCs w:val="21"/>
        </w:rPr>
        <w:t>Mankiw, N. G. — Principles of Economics</w:t>
      </w:r>
    </w:p>
    <w:p w14:paraId="4AA60520">
      <w:pPr>
        <w:spacing w:after="80"/>
        <w:ind w:left="360"/>
      </w:pPr>
      <w:r>
        <w:rPr>
          <w:b/>
          <w:bCs/>
          <w:color w:val="1F3864"/>
          <w:sz w:val="21"/>
          <w:szCs w:val="21"/>
        </w:rPr>
        <w:t xml:space="preserve">•  </w:t>
      </w:r>
      <w:r>
        <w:rPr>
          <w:sz w:val="21"/>
          <w:szCs w:val="21"/>
        </w:rPr>
        <w:t>Keat, P. G. &amp; Young, P. K. Y. — Managerial Economics: Economic Tools for Today's Decision Makers</w:t>
      </w:r>
    </w:p>
    <w:p w14:paraId="1111FA6B">
      <w:r>
        <w:br w:type="page"/>
      </w:r>
    </w:p>
    <w:p w14:paraId="28992641">
      <w:pPr>
        <w:pStyle w:val="2"/>
        <w:pBdr>
          <w:bottom w:val="single" w:color="1F3864" w:sz="10" w:space="6"/>
        </w:pBdr>
        <w:spacing w:before="200" w:after="60"/>
      </w:pPr>
      <w:r>
        <w:rPr>
          <w:b/>
          <w:bCs/>
          <w:color w:val="1F3864"/>
          <w:sz w:val="30"/>
          <w:szCs w:val="30"/>
        </w:rPr>
        <w:t>MODULE 3: FINANCIAL AND MANAGEMENT ACCOUNTING</w:t>
      </w:r>
    </w:p>
    <w:p w14:paraId="33C71DF6">
      <w:pPr>
        <w:spacing w:before="220" w:after="90"/>
      </w:pPr>
      <w:r>
        <w:rPr>
          <w:b/>
          <w:bCs/>
          <w:color w:val="1F3864"/>
          <w:sz w:val="22"/>
          <w:szCs w:val="22"/>
        </w:rPr>
        <w:t>Learning Outcomes</w:t>
      </w:r>
    </w:p>
    <w:p w14:paraId="7BD5A6C0">
      <w:pPr>
        <w:spacing w:after="80"/>
        <w:ind w:left="360"/>
      </w:pPr>
      <w:r>
        <w:rPr>
          <w:b/>
          <w:bCs/>
          <w:color w:val="1F3864"/>
          <w:sz w:val="21"/>
          <w:szCs w:val="21"/>
        </w:rPr>
        <w:t xml:space="preserve">•  </w:t>
      </w:r>
      <w:r>
        <w:rPr>
          <w:sz w:val="21"/>
          <w:szCs w:val="21"/>
        </w:rPr>
        <w:t>Analyze and interpret corporate financial statements using ratio and trend analysis.</w:t>
      </w:r>
    </w:p>
    <w:p w14:paraId="359AAC11">
      <w:pPr>
        <w:spacing w:after="80"/>
        <w:ind w:left="360"/>
      </w:pPr>
      <w:r>
        <w:rPr>
          <w:b/>
          <w:bCs/>
          <w:color w:val="1F3864"/>
          <w:sz w:val="21"/>
          <w:szCs w:val="21"/>
        </w:rPr>
        <w:t xml:space="preserve">•  </w:t>
      </w:r>
      <w:r>
        <w:rPr>
          <w:sz w:val="21"/>
          <w:szCs w:val="21"/>
        </w:rPr>
        <w:t>Apply budgeting and budgetary control techniques to corporate planning.</w:t>
      </w:r>
    </w:p>
    <w:p w14:paraId="076C7F00">
      <w:pPr>
        <w:spacing w:after="80"/>
        <w:ind w:left="360"/>
      </w:pPr>
      <w:r>
        <w:rPr>
          <w:b/>
          <w:bCs/>
          <w:color w:val="1F3864"/>
          <w:sz w:val="21"/>
          <w:szCs w:val="21"/>
        </w:rPr>
        <w:t xml:space="preserve">•  </w:t>
      </w:r>
      <w:r>
        <w:rPr>
          <w:sz w:val="21"/>
          <w:szCs w:val="21"/>
        </w:rPr>
        <w:t>Evaluate working capital management practices and their strategic significance.</w:t>
      </w:r>
    </w:p>
    <w:p w14:paraId="2ACAA07B">
      <w:pPr>
        <w:spacing w:after="80"/>
        <w:ind w:left="360"/>
      </w:pPr>
      <w:r>
        <w:rPr>
          <w:b/>
          <w:bCs/>
          <w:color w:val="1F3864"/>
          <w:sz w:val="21"/>
          <w:szCs w:val="21"/>
        </w:rPr>
        <w:t xml:space="preserve">•  </w:t>
      </w:r>
      <w:r>
        <w:rPr>
          <w:sz w:val="21"/>
          <w:szCs w:val="21"/>
        </w:rPr>
        <w:t>Use financial and management accounting information to support strategic decision-making.</w:t>
      </w:r>
    </w:p>
    <w:p w14:paraId="0B1E3A65">
      <w:pPr>
        <w:pStyle w:val="3"/>
        <w:spacing w:before="260" w:after="100"/>
      </w:pPr>
      <w:r>
        <w:rPr>
          <w:b/>
          <w:bCs/>
          <w:color w:val="B8860B"/>
          <w:sz w:val="24"/>
          <w:szCs w:val="24"/>
        </w:rPr>
        <w:t>3.1 Financial Statement Analysis and Interpretation</w:t>
      </w:r>
    </w:p>
    <w:p w14:paraId="4609990E">
      <w:pPr>
        <w:spacing w:after="160" w:line="300" w:lineRule="auto"/>
        <w:jc w:val="both"/>
      </w:pPr>
      <w:r>
        <w:rPr>
          <w:sz w:val="21"/>
          <w:szCs w:val="21"/>
        </w:rPr>
        <w:t>The three primary financial statements — the Statement of Comprehensive Income (income statement), the Statement of Financial Position (balance sheet), and the Statement of Cash Flows — together provide a comprehensive picture of an organization's financial performance, position, and liquidity. Financial statement analysis converts these raw statements into decision-useful information primarily through ratio analysis, comprising four principal categories: liquidity ratios (e.g., current ratio, quick ratio), which assess the firm's ability to meet short-term obligations; profitability ratios (e.g., gross profit margin, net profit margin, return on equity, return on assets), which assess the firm's efficiency in generating earnings; solvency/gearing ratios (e.g., debt-to-equity ratio, interest cover), which assess long-term financial stability and capital structure risk; and efficiency/activity ratios (e.g., inventory turnover, receivables turnover, asset turnover), which assess how effectively the firm utilizes its assets.</w:t>
      </w:r>
    </w:p>
    <w:p w14:paraId="771CDA08">
      <w:pPr>
        <w:spacing w:after="160" w:line="300" w:lineRule="auto"/>
        <w:jc w:val="both"/>
      </w:pPr>
      <w:r>
        <w:rPr>
          <w:sz w:val="21"/>
          <w:szCs w:val="21"/>
        </w:rPr>
        <w:t>Beyond single-period ratio calculation, robust financial analysis requires trend analysis (examining a firm's ratios over multiple periods to identify directional performance) and comparative/cross-sectional analysis (benchmarking a firm's ratios against industry peers or sector averages). For the corporate strategist, financial statement analysis is not merely a retrospective accounting exercise but a forward-looking strategic tool: profitability and efficiency trends inform decisions regarding resource reallocation, divestment, or investment, while solvency analysis informs the feasibility of debt-financed strategic initiatives such as mergers, acquisitions, or major capital projects.</w:t>
      </w:r>
    </w:p>
    <w:p w14:paraId="1CE6BDC3">
      <w:pPr>
        <w:pStyle w:val="3"/>
        <w:spacing w:before="260" w:after="100"/>
      </w:pPr>
      <w:r>
        <w:rPr>
          <w:b/>
          <w:bCs/>
          <w:color w:val="B8860B"/>
          <w:sz w:val="24"/>
          <w:szCs w:val="24"/>
        </w:rPr>
        <w:t>3.2 Budgeting, Budgetary Control, and Working Capital Management</w:t>
      </w:r>
    </w:p>
    <w:p w14:paraId="7EE4AAB4">
      <w:pPr>
        <w:spacing w:after="160" w:line="300" w:lineRule="auto"/>
        <w:jc w:val="both"/>
      </w:pPr>
      <w:r>
        <w:rPr>
          <w:sz w:val="21"/>
          <w:szCs w:val="21"/>
        </w:rPr>
        <w:t>Budgeting is the process of quantifying an organization's strategic and operational plans in financial terms over a defined future period. The master budget typically integrates operating budgets (sales, production, direct materials, labour, and overhead budgets) with financial budgets (cash budget, budgeted income statement, budgeted balance sheet). Flexible budgeting adjusts budgeted figures to reflect actual activity levels, enabling more meaningful variance analysis, while zero-based budgeting requires each budget period's expenditures to be justified afresh rather than incrementally extrapolated from prior periods, a technique often employed when an organization seeks to fundamentally realign spending with strategic priorities.</w:t>
      </w:r>
    </w:p>
    <w:p w14:paraId="69876B37">
      <w:pPr>
        <w:spacing w:after="160" w:line="300" w:lineRule="auto"/>
        <w:jc w:val="both"/>
      </w:pPr>
      <w:r>
        <w:rPr>
          <w:sz w:val="21"/>
          <w:szCs w:val="21"/>
        </w:rPr>
        <w:t>Budgetary control involves the continuous comparison of actual results against budgeted figures, the calculation and investigation of variances (favourable or adverse), and the initiation of corrective managerial action, thereby operationalizing the controlling function discussed in Module 1 within a specifically financial context. Working capital management addresses the short-term financial decisions surrounding current assets and current liabilities — principally cash, accounts receivable, inventory, and accounts payable — with the objective of maintaining sufficient liquidity to sustain operations while minimizing the opportunity cost of excess idle resources. Effective working capital management, encompassing techniques such as the cash conversion cycle, receivables aging analysis, and just-in-time inventory principles, is of direct strategic significance, since inadequate working capital can constrain a firm's ability to fund its strategic growth initiatives even where such initiatives are otherwise sound.</w:t>
      </w:r>
    </w:p>
    <w:p w14:paraId="5467CEDC">
      <w:pPr>
        <w:spacing w:before="220" w:after="90"/>
      </w:pPr>
      <w:r>
        <w:rPr>
          <w:b/>
          <w:bCs/>
          <w:color w:val="1F3864"/>
          <w:sz w:val="22"/>
          <w:szCs w:val="22"/>
        </w:rPr>
        <w:t>Applied Case Illustration</w:t>
      </w:r>
    </w:p>
    <w:p w14:paraId="34D5389A">
      <w:pPr>
        <w:spacing w:after="160" w:line="300" w:lineRule="auto"/>
        <w:jc w:val="both"/>
      </w:pPr>
      <w:r>
        <w:rPr>
          <w:sz w:val="21"/>
          <w:szCs w:val="21"/>
        </w:rPr>
        <w:t>A corporate group evaluating a proposed market expansion first conducts ratio analysis on three years of financial statements, revealing declining inventory turnover alongside stable profitability, prompting investigation into potential overstocking. Simultaneously, a zero-based budgeting exercise across departments identifies discretionary expenditure that can be reallocated toward the expansion initiative. A revised cash budget and working capital plan are then prepared to ensure the expansion can be funded without compromising the group's short-term liquidity, demonstrating the integration of financial statement analysis, budgeting, and working capital management in support of strategic decision-making.</w:t>
      </w:r>
    </w:p>
    <w:p w14:paraId="628F50A4">
      <w:pPr>
        <w:spacing w:before="220" w:after="90"/>
      </w:pPr>
      <w:r>
        <w:rPr>
          <w:b/>
          <w:bCs/>
          <w:color w:val="1F3864"/>
          <w:sz w:val="22"/>
          <w:szCs w:val="22"/>
        </w:rPr>
        <w:t>Module Summary</w:t>
      </w:r>
    </w:p>
    <w:p w14:paraId="2BAD106C">
      <w:pPr>
        <w:spacing w:after="160" w:line="300" w:lineRule="auto"/>
        <w:jc w:val="both"/>
      </w:pPr>
      <w:r>
        <w:rPr>
          <w:sz w:val="21"/>
          <w:szCs w:val="21"/>
        </w:rPr>
        <w:t>This module has examined the tools of financial statement analysis — including ratio, trend, and comparative analysis — and their strategic application, alongside the processes of budgeting and budgetary control and the principles of working capital management, all considered as instruments through which corporate strategy is financially planned, resourced, and monitored.</w:t>
      </w:r>
    </w:p>
    <w:p w14:paraId="0FFFD89C">
      <w:pPr>
        <w:spacing w:before="220" w:after="90"/>
      </w:pPr>
      <w:r>
        <w:rPr>
          <w:b/>
          <w:bCs/>
          <w:color w:val="1F3864"/>
          <w:sz w:val="22"/>
          <w:szCs w:val="22"/>
        </w:rPr>
        <w:t>Self-Assessment Questions</w:t>
      </w:r>
    </w:p>
    <w:p w14:paraId="614CCC41">
      <w:pPr>
        <w:spacing w:after="90"/>
        <w:ind w:left="360"/>
      </w:pPr>
      <w:r>
        <w:rPr>
          <w:b/>
          <w:bCs/>
          <w:sz w:val="21"/>
          <w:szCs w:val="21"/>
        </w:rPr>
        <w:t xml:space="preserve">1.  </w:t>
      </w:r>
      <w:r>
        <w:rPr>
          <w:sz w:val="21"/>
          <w:szCs w:val="21"/>
        </w:rPr>
        <w:t>Explain the four main categories of financial ratios and illustrate how each supports strategic decision-making.</w:t>
      </w:r>
    </w:p>
    <w:p w14:paraId="70DACD90">
      <w:pPr>
        <w:spacing w:after="90"/>
        <w:ind w:left="360"/>
      </w:pPr>
      <w:r>
        <w:rPr>
          <w:b/>
          <w:bCs/>
          <w:sz w:val="21"/>
          <w:szCs w:val="21"/>
        </w:rPr>
        <w:t xml:space="preserve">2.  </w:t>
      </w:r>
      <w:r>
        <w:rPr>
          <w:sz w:val="21"/>
          <w:szCs w:val="21"/>
        </w:rPr>
        <w:t>Distinguish between a master budget and a flexible budget, and explain the purpose of variance analysis.</w:t>
      </w:r>
    </w:p>
    <w:p w14:paraId="56D0532D">
      <w:pPr>
        <w:spacing w:after="90"/>
        <w:ind w:left="360"/>
      </w:pPr>
      <w:r>
        <w:rPr>
          <w:b/>
          <w:bCs/>
          <w:sz w:val="21"/>
          <w:szCs w:val="21"/>
        </w:rPr>
        <w:t xml:space="preserve">3.  </w:t>
      </w:r>
      <w:r>
        <w:rPr>
          <w:sz w:val="21"/>
          <w:szCs w:val="21"/>
        </w:rPr>
        <w:t>Discuss the concept and strategic importance of the cash conversion cycle.</w:t>
      </w:r>
    </w:p>
    <w:p w14:paraId="543AA388">
      <w:pPr>
        <w:spacing w:after="90"/>
        <w:ind w:left="360"/>
      </w:pPr>
      <w:r>
        <w:rPr>
          <w:b/>
          <w:bCs/>
          <w:sz w:val="21"/>
          <w:szCs w:val="21"/>
        </w:rPr>
        <w:t xml:space="preserve">4.  </w:t>
      </w:r>
      <w:r>
        <w:rPr>
          <w:sz w:val="21"/>
          <w:szCs w:val="21"/>
        </w:rPr>
        <w:t>Critically evaluate the use of zero-based budgeting as a tool for strategic realignment of corporate expenditure.</w:t>
      </w:r>
    </w:p>
    <w:p w14:paraId="163DB2C3">
      <w:pPr>
        <w:spacing w:after="90"/>
        <w:ind w:left="360"/>
      </w:pPr>
      <w:r>
        <w:rPr>
          <w:b/>
          <w:bCs/>
          <w:sz w:val="21"/>
          <w:szCs w:val="21"/>
        </w:rPr>
        <w:t xml:space="preserve">5.  </w:t>
      </w:r>
      <w:r>
        <w:rPr>
          <w:sz w:val="21"/>
          <w:szCs w:val="21"/>
        </w:rPr>
        <w:t>Using a hypothetical set of financial statements, demonstrate how ratio analysis could inform a strategic investment decision.</w:t>
      </w:r>
    </w:p>
    <w:p w14:paraId="502EA154">
      <w:pPr>
        <w:spacing w:before="220" w:after="90"/>
      </w:pPr>
      <w:r>
        <w:rPr>
          <w:b/>
          <w:bCs/>
          <w:color w:val="1F3864"/>
          <w:sz w:val="22"/>
          <w:szCs w:val="22"/>
        </w:rPr>
        <w:t>Recommended Further Reading</w:t>
      </w:r>
    </w:p>
    <w:p w14:paraId="6B9AFBF4">
      <w:pPr>
        <w:spacing w:after="80"/>
        <w:ind w:left="360"/>
      </w:pPr>
      <w:r>
        <w:rPr>
          <w:b/>
          <w:bCs/>
          <w:color w:val="1F3864"/>
          <w:sz w:val="21"/>
          <w:szCs w:val="21"/>
        </w:rPr>
        <w:t xml:space="preserve">•  </w:t>
      </w:r>
      <w:r>
        <w:rPr>
          <w:sz w:val="21"/>
          <w:szCs w:val="21"/>
        </w:rPr>
        <w:t>Atrill, P. &amp; McLaney, E. — Accounting and Finance for Non-Specialists</w:t>
      </w:r>
    </w:p>
    <w:p w14:paraId="2C335D95">
      <w:pPr>
        <w:spacing w:after="80"/>
        <w:ind w:left="360"/>
      </w:pPr>
      <w:r>
        <w:rPr>
          <w:b/>
          <w:bCs/>
          <w:color w:val="1F3864"/>
          <w:sz w:val="21"/>
          <w:szCs w:val="21"/>
        </w:rPr>
        <w:t xml:space="preserve">•  </w:t>
      </w:r>
      <w:r>
        <w:rPr>
          <w:sz w:val="21"/>
          <w:szCs w:val="21"/>
        </w:rPr>
        <w:t>Drury, C. — Management and Cost Accounting</w:t>
      </w:r>
    </w:p>
    <w:p w14:paraId="672C319D">
      <w:pPr>
        <w:spacing w:after="80"/>
        <w:ind w:left="360"/>
      </w:pPr>
      <w:r>
        <w:rPr>
          <w:b/>
          <w:bCs/>
          <w:color w:val="1F3864"/>
          <w:sz w:val="21"/>
          <w:szCs w:val="21"/>
        </w:rPr>
        <w:t xml:space="preserve">•  </w:t>
      </w:r>
      <w:r>
        <w:rPr>
          <w:sz w:val="21"/>
          <w:szCs w:val="21"/>
        </w:rPr>
        <w:t>Brigham, E. F. &amp; Ehrhardt, M. C. — Financial Management: Theory and Practice</w:t>
      </w:r>
    </w:p>
    <w:p w14:paraId="6E6B6463">
      <w:pPr>
        <w:spacing w:after="80"/>
        <w:ind w:left="360"/>
      </w:pPr>
      <w:r>
        <w:rPr>
          <w:b/>
          <w:bCs/>
          <w:color w:val="1F3864"/>
          <w:sz w:val="21"/>
          <w:szCs w:val="21"/>
        </w:rPr>
        <w:t xml:space="preserve">•  </w:t>
      </w:r>
      <w:r>
        <w:rPr>
          <w:sz w:val="21"/>
          <w:szCs w:val="21"/>
        </w:rPr>
        <w:t>Weston, J. F. &amp; Brigham, E. F. — Essentials of Managerial Finance</w:t>
      </w:r>
    </w:p>
    <w:p w14:paraId="7AFC3E51">
      <w:r>
        <w:br w:type="page"/>
      </w:r>
    </w:p>
    <w:p w14:paraId="1480D444">
      <w:pPr>
        <w:pStyle w:val="2"/>
        <w:pBdr>
          <w:bottom w:val="single" w:color="1F3864" w:sz="10" w:space="6"/>
        </w:pBdr>
        <w:spacing w:before="200" w:after="60"/>
      </w:pPr>
      <w:r>
        <w:rPr>
          <w:b/>
          <w:bCs/>
          <w:color w:val="1F3864"/>
          <w:sz w:val="30"/>
          <w:szCs w:val="30"/>
        </w:rPr>
        <w:t>MODULE 4: BUSINESS LAW AND CORPORATE GOVERNANCE</w:t>
      </w:r>
    </w:p>
    <w:p w14:paraId="3063EF7E">
      <w:pPr>
        <w:spacing w:before="220" w:after="90"/>
      </w:pPr>
      <w:r>
        <w:rPr>
          <w:b/>
          <w:bCs/>
          <w:color w:val="1F3864"/>
          <w:sz w:val="22"/>
          <w:szCs w:val="22"/>
        </w:rPr>
        <w:t>Learning Outcomes</w:t>
      </w:r>
    </w:p>
    <w:p w14:paraId="03967A52">
      <w:pPr>
        <w:spacing w:after="80"/>
        <w:ind w:left="360"/>
      </w:pPr>
      <w:r>
        <w:rPr>
          <w:b/>
          <w:bCs/>
          <w:color w:val="1F3864"/>
          <w:sz w:val="21"/>
          <w:szCs w:val="21"/>
        </w:rPr>
        <w:t xml:space="preserve">•  </w:t>
      </w:r>
      <w:r>
        <w:rPr>
          <w:sz w:val="21"/>
          <w:szCs w:val="21"/>
        </w:rPr>
        <w:t>Explain the essential elements of a valid contract and their application to commercial transactions.</w:t>
      </w:r>
    </w:p>
    <w:p w14:paraId="4D36C507">
      <w:pPr>
        <w:spacing w:after="80"/>
        <w:ind w:left="360"/>
      </w:pPr>
      <w:r>
        <w:rPr>
          <w:b/>
          <w:bCs/>
          <w:color w:val="1F3864"/>
          <w:sz w:val="21"/>
          <w:szCs w:val="21"/>
        </w:rPr>
        <w:t xml:space="preserve">•  </w:t>
      </w:r>
      <w:r>
        <w:rPr>
          <w:sz w:val="21"/>
          <w:szCs w:val="21"/>
        </w:rPr>
        <w:t>Analyze remedies available for breach of contract in a corporate context.</w:t>
      </w:r>
    </w:p>
    <w:p w14:paraId="34CA1691">
      <w:pPr>
        <w:spacing w:after="80"/>
        <w:ind w:left="360"/>
      </w:pPr>
      <w:r>
        <w:rPr>
          <w:b/>
          <w:bCs/>
          <w:color w:val="1F3864"/>
          <w:sz w:val="21"/>
          <w:szCs w:val="21"/>
        </w:rPr>
        <w:t xml:space="preserve">•  </w:t>
      </w:r>
      <w:r>
        <w:rPr>
          <w:sz w:val="21"/>
          <w:szCs w:val="21"/>
        </w:rPr>
        <w:t>Evaluate company law principles governing incorporation, directors' duties, and shareholders' rights.</w:t>
      </w:r>
    </w:p>
    <w:p w14:paraId="3F08B5FE">
      <w:pPr>
        <w:spacing w:after="80"/>
        <w:ind w:left="360"/>
      </w:pPr>
      <w:r>
        <w:rPr>
          <w:b/>
          <w:bCs/>
          <w:color w:val="1F3864"/>
          <w:sz w:val="21"/>
          <w:szCs w:val="21"/>
        </w:rPr>
        <w:t xml:space="preserve">•  </w:t>
      </w:r>
      <w:r>
        <w:rPr>
          <w:sz w:val="21"/>
          <w:szCs w:val="21"/>
        </w:rPr>
        <w:t>Assess corporate governance frameworks and the strategic role of the board in organizational oversight.</w:t>
      </w:r>
    </w:p>
    <w:p w14:paraId="04CC57CC">
      <w:pPr>
        <w:pStyle w:val="3"/>
        <w:spacing w:before="260" w:after="100"/>
      </w:pPr>
      <w:r>
        <w:rPr>
          <w:b/>
          <w:bCs/>
          <w:color w:val="B8860B"/>
          <w:sz w:val="24"/>
          <w:szCs w:val="24"/>
        </w:rPr>
        <w:t>4.1 Contract and Commercial Law Essentials</w:t>
      </w:r>
    </w:p>
    <w:p w14:paraId="0FA74962">
      <w:pPr>
        <w:spacing w:after="160" w:line="300" w:lineRule="auto"/>
        <w:jc w:val="both"/>
      </w:pPr>
      <w:r>
        <w:rPr>
          <w:sz w:val="21"/>
          <w:szCs w:val="21"/>
        </w:rPr>
        <w:t>A legally binding contract requires the presence of several essential elements: offer (a clear proposal by one party to be bound on specified terms), acceptance (an unqualified agreement to the terms of the offer), consideration (something of value exchanged between the parties, distinguishing a contract from a gratuitous promise), an intention to create legal relations (particularly presumed in commercial as opposed to purely social or domestic agreements), and the capacity of the parties to contract (excluding, for example, minors or persons lacking mental capacity in certain circumstances). Where any of these elements is absent or vitiated — for instance, by misrepresentation, duress, undue influence, or mistake — a contract may be void, voidable, or unenforceable.</w:t>
      </w:r>
    </w:p>
    <w:p w14:paraId="05715219">
      <w:pPr>
        <w:spacing w:after="160" w:line="300" w:lineRule="auto"/>
        <w:jc w:val="both"/>
      </w:pPr>
      <w:r>
        <w:rPr>
          <w:sz w:val="21"/>
          <w:szCs w:val="21"/>
        </w:rPr>
        <w:t>Breach of contract occurs where a party fails, without lawful excuse, to perform its obligations under the contract, and gives rise to a range of remedies including damages (compensation for loss, whether general or consequential), specific performance (a court order requiring the defaulting party to perform its contractual obligations, typically granted where damages would be an inadequate remedy), and rescission (the setting aside of the contract, restoring the parties to their pre-contractual position). Corporate managers regularly engage with commercial law beyond general contract principles, including the law of sale of goods (implied terms as to title, description, quality, and fitness for purpose), agency law (governing the authority of employees and representatives to bind the corporation), and the law of negotiable instruments (governing cheques, bills of exchange, and promissory notes used in commercial settlement).</w:t>
      </w:r>
    </w:p>
    <w:p w14:paraId="7ED88896">
      <w:pPr>
        <w:pStyle w:val="3"/>
        <w:spacing w:before="260" w:after="100"/>
      </w:pPr>
      <w:r>
        <w:rPr>
          <w:b/>
          <w:bCs/>
          <w:color w:val="B8860B"/>
          <w:sz w:val="24"/>
          <w:szCs w:val="24"/>
        </w:rPr>
        <w:t>4.2 Company Law, Regulatory Compliance, Board Governance</w:t>
      </w:r>
    </w:p>
    <w:p w14:paraId="434EADD5">
      <w:pPr>
        <w:spacing w:after="160" w:line="300" w:lineRule="auto"/>
        <w:jc w:val="both"/>
      </w:pPr>
      <w:r>
        <w:rPr>
          <w:sz w:val="21"/>
          <w:szCs w:val="21"/>
        </w:rPr>
        <w:t>Company law governs the formation, operation, and dissolution of corporate entities, beginning with incorporation — the legal process by which a company acquires a distinct legal personality separate from its shareholders, conferring the benefit of limited liability. Jurisdictions typically recognize several company types, including private limited companies, public limited companies, and companies limited by guarantee, each subject to differing regulatory obligations regarding capital, disclosure, and governance. Directors owe fiduciary duties to the company, generally encompassing the duty to act within their powers, the duty to promote the success of the company, the duty to exercise independent judgment, the duty to exercise reasonable care, skill, and diligence, the duty to avoid conflicts of interest, and the duty to declare any interest in a proposed transaction. Shareholders, as the residual owners of the company, hold rights including the right to vote at general meetings, the right to receive dividends as declared, the right to receive financial and other statutory information, and, in cases of unfair prejudice or mismanagement, the right to seek statutory remedies.</w:t>
      </w:r>
    </w:p>
    <w:p w14:paraId="3197C751">
      <w:pPr>
        <w:spacing w:after="160" w:line="300" w:lineRule="auto"/>
        <w:jc w:val="both"/>
      </w:pPr>
      <w:r>
        <w:rPr>
          <w:sz w:val="21"/>
          <w:szCs w:val="21"/>
        </w:rPr>
        <w:t>Corporate governance refers to the system of rules, practices, and processes by which a company is directed and controlled, balancing the interests of shareholders, management, and other stakeholders. International reference points such as the OECD Principles of Corporate Governance emphasize the rights of shareholders, the equitable treatment of shareholders, the role of stakeholders, disclosure and transparency, and the responsibilities of the board. Effective board governance typically involves a balance of executive and independent non-executive directors, the separation (in many jurisdictions and governance codes) of the roles of Chief Executive Officer and Board Chairperson, and the establishment of board committees — commonly an audit committee, remuneration committee, nomination committee, and, increasingly, a risk and/or governance committee — to provide focused oversight. The board's strategic oversight role encompasses approving and monitoring corporate strategy, overseeing risk management, ensuring the integrity of financial reporting, and holding executive management accountable for the execution of strategy, positioning corporate governance as an essential complement to, rather than a constraint upon, effective strategic management.</w:t>
      </w:r>
    </w:p>
    <w:p w14:paraId="1DE39378">
      <w:pPr>
        <w:spacing w:before="220" w:after="90"/>
      </w:pPr>
      <w:r>
        <w:rPr>
          <w:b/>
          <w:bCs/>
          <w:color w:val="1F3864"/>
          <w:sz w:val="22"/>
          <w:szCs w:val="22"/>
        </w:rPr>
        <w:t>Applied Case Illustration</w:t>
      </w:r>
    </w:p>
    <w:p w14:paraId="3BF64D40">
      <w:pPr>
        <w:spacing w:after="160" w:line="300" w:lineRule="auto"/>
        <w:jc w:val="both"/>
      </w:pPr>
      <w:r>
        <w:rPr>
          <w:sz w:val="21"/>
          <w:szCs w:val="21"/>
        </w:rPr>
        <w:t>A corporation negotiating a major supply agreement ensures that the contract clearly specifies offer, acceptance, and consideration terms, and includes provisions addressing remedies for late delivery to mitigate commercial risk. At board level, in preparing to pursue a significant strategic acquisition, the board's audit and risk committees conduct due diligence review, while the full board, mindful of directors' fiduciary duties, satisfies itself that the acquisition promotes the long-term success of the company before approval. This illustrates how contract law manages transactional risk at the operational level while corporate governance structures ensure appropriate oversight of major strategic decisions.</w:t>
      </w:r>
    </w:p>
    <w:p w14:paraId="522A67C3">
      <w:pPr>
        <w:spacing w:before="220" w:after="90"/>
      </w:pPr>
      <w:r>
        <w:rPr>
          <w:b/>
          <w:bCs/>
          <w:color w:val="1F3864"/>
          <w:sz w:val="22"/>
          <w:szCs w:val="22"/>
        </w:rPr>
        <w:t>Module Summary</w:t>
      </w:r>
    </w:p>
    <w:p w14:paraId="317CA109">
      <w:pPr>
        <w:spacing w:after="160" w:line="300" w:lineRule="auto"/>
        <w:jc w:val="both"/>
      </w:pPr>
      <w:r>
        <w:rPr>
          <w:sz w:val="21"/>
          <w:szCs w:val="21"/>
        </w:rPr>
        <w:t>This module has examined the essential elements of contract formation and the remedies available for breach, key principles of company law including incorporation, directors' duties, and shareholders' rights, and the frameworks and structures of corporate governance through which boards exercise strategic oversight, collectively equipping the corporate manager with the legal literacy necessary for sound and compliant strategic decision-making.</w:t>
      </w:r>
    </w:p>
    <w:p w14:paraId="6FCFE607">
      <w:pPr>
        <w:spacing w:before="220" w:after="90"/>
      </w:pPr>
      <w:r>
        <w:rPr>
          <w:b/>
          <w:bCs/>
          <w:color w:val="1F3864"/>
          <w:sz w:val="22"/>
          <w:szCs w:val="22"/>
        </w:rPr>
        <w:t>Self-Assessment Questions</w:t>
      </w:r>
    </w:p>
    <w:p w14:paraId="6A92C169">
      <w:pPr>
        <w:spacing w:after="90"/>
        <w:ind w:left="360"/>
      </w:pPr>
      <w:r>
        <w:rPr>
          <w:b/>
          <w:bCs/>
          <w:sz w:val="21"/>
          <w:szCs w:val="21"/>
        </w:rPr>
        <w:t xml:space="preserve">1.  </w:t>
      </w:r>
      <w:r>
        <w:rPr>
          <w:sz w:val="21"/>
          <w:szCs w:val="21"/>
        </w:rPr>
        <w:t>Identify and explain the essential elements required for the formation of a valid contract.</w:t>
      </w:r>
    </w:p>
    <w:p w14:paraId="2372FBED">
      <w:pPr>
        <w:spacing w:after="90"/>
        <w:ind w:left="360"/>
      </w:pPr>
      <w:r>
        <w:rPr>
          <w:b/>
          <w:bCs/>
          <w:sz w:val="21"/>
          <w:szCs w:val="21"/>
        </w:rPr>
        <w:t xml:space="preserve">2.  </w:t>
      </w:r>
      <w:r>
        <w:rPr>
          <w:sz w:val="21"/>
          <w:szCs w:val="21"/>
        </w:rPr>
        <w:t>Discuss the remedies available to an innocent party in the event of breach of contract.</w:t>
      </w:r>
    </w:p>
    <w:p w14:paraId="0DD2CBC5">
      <w:pPr>
        <w:spacing w:after="90"/>
        <w:ind w:left="360"/>
      </w:pPr>
      <w:r>
        <w:rPr>
          <w:b/>
          <w:bCs/>
          <w:sz w:val="21"/>
          <w:szCs w:val="21"/>
        </w:rPr>
        <w:t xml:space="preserve">3.  </w:t>
      </w:r>
      <w:r>
        <w:rPr>
          <w:sz w:val="21"/>
          <w:szCs w:val="21"/>
        </w:rPr>
        <w:t>Explain the principal fiduciary duties owed by directors to a company.</w:t>
      </w:r>
    </w:p>
    <w:p w14:paraId="74731248">
      <w:pPr>
        <w:spacing w:after="90"/>
        <w:ind w:left="360"/>
      </w:pPr>
      <w:r>
        <w:rPr>
          <w:b/>
          <w:bCs/>
          <w:sz w:val="21"/>
          <w:szCs w:val="21"/>
        </w:rPr>
        <w:t xml:space="preserve">4.  </w:t>
      </w:r>
      <w:r>
        <w:rPr>
          <w:sz w:val="21"/>
          <w:szCs w:val="21"/>
        </w:rPr>
        <w:t>Evaluate the role of board committees in strengthening corporate governance.</w:t>
      </w:r>
    </w:p>
    <w:p w14:paraId="4A98FC75">
      <w:pPr>
        <w:spacing w:after="90"/>
        <w:ind w:left="360"/>
      </w:pPr>
      <w:r>
        <w:rPr>
          <w:b/>
          <w:bCs/>
          <w:sz w:val="21"/>
          <w:szCs w:val="21"/>
        </w:rPr>
        <w:t xml:space="preserve">5.  </w:t>
      </w:r>
      <w:r>
        <w:rPr>
          <w:sz w:val="21"/>
          <w:szCs w:val="21"/>
        </w:rPr>
        <w:t>Discuss the relationship between corporate governance and strategic management, using relevant examples.</w:t>
      </w:r>
    </w:p>
    <w:p w14:paraId="4FD4B6EA">
      <w:pPr>
        <w:spacing w:before="220" w:after="90"/>
      </w:pPr>
      <w:r>
        <w:rPr>
          <w:b/>
          <w:bCs/>
          <w:color w:val="1F3864"/>
          <w:sz w:val="22"/>
          <w:szCs w:val="22"/>
        </w:rPr>
        <w:t>Recommended Further Reading</w:t>
      </w:r>
    </w:p>
    <w:p w14:paraId="5517BB69">
      <w:pPr>
        <w:spacing w:after="80"/>
        <w:ind w:left="360"/>
      </w:pPr>
      <w:r>
        <w:rPr>
          <w:b/>
          <w:bCs/>
          <w:color w:val="1F3864"/>
          <w:sz w:val="21"/>
          <w:szCs w:val="21"/>
        </w:rPr>
        <w:t xml:space="preserve">•  </w:t>
      </w:r>
      <w:r>
        <w:rPr>
          <w:sz w:val="21"/>
          <w:szCs w:val="21"/>
        </w:rPr>
        <w:t>Cheeseman, H. R. — Business Law</w:t>
      </w:r>
    </w:p>
    <w:p w14:paraId="0956E079">
      <w:pPr>
        <w:spacing w:after="80"/>
        <w:ind w:left="360"/>
      </w:pPr>
      <w:r>
        <w:rPr>
          <w:b/>
          <w:bCs/>
          <w:color w:val="1F3864"/>
          <w:sz w:val="21"/>
          <w:szCs w:val="21"/>
        </w:rPr>
        <w:t xml:space="preserve">•  </w:t>
      </w:r>
      <w:r>
        <w:rPr>
          <w:sz w:val="21"/>
          <w:szCs w:val="21"/>
        </w:rPr>
        <w:t>Hannigan, B. — Company Law</w:t>
      </w:r>
    </w:p>
    <w:p w14:paraId="294610DD">
      <w:pPr>
        <w:spacing w:after="80"/>
        <w:ind w:left="360"/>
      </w:pPr>
      <w:r>
        <w:rPr>
          <w:b/>
          <w:bCs/>
          <w:color w:val="1F3864"/>
          <w:sz w:val="21"/>
          <w:szCs w:val="21"/>
        </w:rPr>
        <w:t xml:space="preserve">•  </w:t>
      </w:r>
      <w:r>
        <w:rPr>
          <w:sz w:val="21"/>
          <w:szCs w:val="21"/>
        </w:rPr>
        <w:t>OECD — Principles of Corporate Governance</w:t>
      </w:r>
    </w:p>
    <w:p w14:paraId="0AD8AA3B">
      <w:pPr>
        <w:spacing w:after="80"/>
        <w:ind w:left="360"/>
      </w:pPr>
      <w:r>
        <w:rPr>
          <w:b/>
          <w:bCs/>
          <w:color w:val="1F3864"/>
          <w:sz w:val="21"/>
          <w:szCs w:val="21"/>
        </w:rPr>
        <w:t xml:space="preserve">•  </w:t>
      </w:r>
      <w:r>
        <w:rPr>
          <w:sz w:val="21"/>
          <w:szCs w:val="21"/>
        </w:rPr>
        <w:t>Solomon, J. — Corporate Governance and Accountability</w:t>
      </w:r>
    </w:p>
    <w:sectPr>
      <w:headerReference r:id="rId3" w:type="default"/>
      <w:footerReference r:id="rId4" w:type="default"/>
      <w:pgSz w:w="11906" w:h="16838"/>
      <w:pgMar w:top="1000" w:right="1200" w:bottom="1000" w:left="12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5F3F5">
    <w:pPr>
      <w:jc w:val="center"/>
    </w:pPr>
    <w:r>
      <w:rPr>
        <w:color w:val="595959"/>
        <w:sz w:val="16"/>
        <w:szCs w:val="16"/>
      </w:rPr>
      <w:t xml:space="preserve">Page </w:t>
    </w:r>
    <w:r>
      <w:rPr>
        <w:color w:val="595959"/>
        <w:sz w:val="16"/>
        <w:szCs w:val="16"/>
      </w:rPr>
      <w:fldChar w:fldCharType="begin"/>
    </w:r>
    <w:r>
      <w:rPr>
        <w:color w:val="595959"/>
        <w:sz w:val="16"/>
        <w:szCs w:val="16"/>
      </w:rPr>
      <w:instrText xml:space="preserve">PAGE</w:instrText>
    </w:r>
    <w:r>
      <w:rPr>
        <w:color w:val="595959"/>
        <w:sz w:val="16"/>
        <w:szCs w:val="16"/>
      </w:rPr>
      <w:fldChar w:fldCharType="separate"/>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 xml:space="preserve">NUMPAGES</w:instrText>
    </w:r>
    <w:r>
      <w:rPr>
        <w:color w:val="595959"/>
        <w:sz w:val="16"/>
        <w:szCs w:val="16"/>
      </w:rPr>
      <w:fldChar w:fldCharType="separate"/>
    </w:r>
    <w:r>
      <w:rPr>
        <w:color w:val="595959"/>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B238B">
    <w:pPr>
      <w:jc w:val="right"/>
    </w:pPr>
    <w:r>
      <w:rPr>
        <w:color w:val="595959"/>
        <w:sz w:val="16"/>
        <w:szCs w:val="16"/>
        <w:lang w:val="en-US"/>
      </w:rPr>
      <w:t>CMSP</w:t>
    </w:r>
    <w:r>
      <w:rPr>
        <w:color w:val="595959"/>
        <w:sz w:val="16"/>
        <w:szCs w:val="16"/>
      </w:rPr>
      <w:t xml:space="preserve"> — PGD in Corporate Management and Strategic Planning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ompat>
    <w:compatSetting w:name="compatibilityMode" w:uri="http://schemas.microsoft.com/office/word" w:val="15"/>
  </w:compat>
  <w:rsids>
    <w:rsidRoot w:val="00000000"/>
    <w:rsid w:val="31FA2A24"/>
    <w:rsid w:val="7AA26A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18"/>
    <w:semiHidden/>
    <w:unhideWhenUsed/>
    <w:uiPriority w:val="99"/>
    <w:pPr>
      <w:spacing w:after="0" w:line="240" w:lineRule="auto"/>
    </w:pPr>
    <w:rPr>
      <w:rFonts w:asciiTheme="minorHAnsi" w:hAnsiTheme="minorHAnsi" w:eastAsiaTheme="minorEastAsia" w:cstheme="minorBid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Theme="minorHAnsi" w:hAnsiTheme="minorHAnsi" w:eastAsiaTheme="minorEastAsia" w:cstheme="minorBidi"/>
      <w:sz w:val="20"/>
      <w:szCs w:val="20"/>
    </w:rPr>
  </w:style>
  <w:style w:type="character" w:styleId="14">
    <w:name w:val="Hyperlink"/>
    <w:unhideWhenUsed/>
    <w:qFormat/>
    <w:uiPriority w:val="99"/>
    <w:rPr>
      <w:color w:val="0563C1"/>
      <w:u w:val="single"/>
    </w:rPr>
  </w:style>
  <w:style w:type="paragraph" w:styleId="15">
    <w:name w:val="Title"/>
    <w:qFormat/>
    <w:uiPriority w:val="0"/>
    <w:rPr>
      <w:rFonts w:asciiTheme="minorHAnsi" w:hAnsiTheme="minorHAnsi" w:eastAsiaTheme="minorEastAsia" w:cstheme="minorBidi"/>
      <w:sz w:val="56"/>
      <w:szCs w:val="56"/>
    </w:rPr>
  </w:style>
  <w:style w:type="paragraph" w:styleId="16">
    <w:name w:val="List Paragraph"/>
    <w:qFormat/>
    <w:uiPriority w:val="0"/>
    <w:rPr>
      <w:rFonts w:asciiTheme="minorHAnsi" w:hAnsiTheme="minorHAnsi" w:eastAsiaTheme="minorEastAsia" w:cstheme="minorBidi"/>
      <w:sz w:val="21"/>
      <w:szCs w:val="22"/>
    </w:rPr>
  </w:style>
  <w:style w:type="character" w:customStyle="1" w:styleId="17">
    <w:name w:val="Footnote Text Char"/>
    <w:link w:val="13"/>
    <w:semiHidden/>
    <w:unhideWhenUsed/>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4103</Words>
  <Characters>26843</Characters>
  <TotalTime>2</TotalTime>
  <ScaleCrop>false</ScaleCrop>
  <LinksUpToDate>false</LinksUpToDate>
  <CharactersWithSpaces>30874</CharactersWithSpaces>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2026-07-13T08:46:00Z</dcterms:created>
  <dc:creator>Un-named</dc:creator>
  <cp:lastModifiedBy>David Afelenime Babatunde</cp:lastModifiedBy>
  <dcterms:modified xsi:type="dcterms:W3CDTF">2026-07-18T11:19:55Z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29893E143AB2480EB250EBE22CABAFAA_12</vt:lpwstr>
  </property>
</Properties>
</file>